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spacing w:after="0" w:lineRule="auto"/>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ROSCI0268ZPB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Valea Vâlsanului</w:t>
      </w:r>
      <w:r w:rsidDel="00000000" w:rsidR="00000000" w:rsidRPr="00000000">
        <w:rPr>
          <w:rtl w:val="0"/>
        </w:rPr>
      </w:r>
    </w:p>
    <w:p w:rsidR="00000000" w:rsidDel="00000000" w:rsidP="00000000" w:rsidRDefault="00000000" w:rsidRPr="00000000" w14:paraId="0000000A">
      <w:pPr>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C">
      <w:pPr>
        <w:rPr/>
      </w:pPr>
      <w:sdt>
        <w:sdtPr>
          <w:id w:val="-68477287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sdt>
        <w:sdtPr>
          <w:id w:val="-214338666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sdt>
        <w:sdtPr>
          <w:id w:val="121033255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F">
            <w:pPr>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b w:val="1"/>
          <w:bCs w:val="1"/>
          <w:sz w:val="22"/>
          <w:szCs w:val="22"/>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rtl w:val="0"/>
        </w:rPr>
        <w:t xml:space="preserve">190,48</w:t>
      </w: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rtl w:val="0"/>
        </w:rPr>
        <w:t xml:space="preserve">1,99%</w:t>
      </w: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2">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4">
      <w:pPr>
        <w:rPr>
          <w:sz w:val="22"/>
          <w:szCs w:val="22"/>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Argeș</w:t>
      </w:r>
      <w:r w:rsidDel="00000000" w:rsidR="00000000" w:rsidRPr="00000000">
        <w:rPr>
          <w:rtl w:val="0"/>
        </w:rPr>
      </w:r>
    </w:p>
    <w:p w:rsidR="00000000" w:rsidDel="00000000" w:rsidP="00000000" w:rsidRDefault="00000000" w:rsidRPr="00000000" w14:paraId="00000057">
      <w:pPr>
        <w:rPr>
          <w:b w:val="1"/>
          <w:bCs w:val="1"/>
          <w:sz w:val="22"/>
          <w:szCs w:val="22"/>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9">
            <w:pPr>
              <w:rPr/>
            </w:pPr>
            <w:sdt>
              <w:sdtPr>
                <w:id w:val="81605453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651266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93156084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sdt>
              <w:sdtPr>
                <w:id w:val="-121335621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sdt>
              <w:sdtPr>
                <w:id w:val="8059614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5022056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rtl w:val="0"/>
        </w:rPr>
        <w:t xml:space="preserve">190,48</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Decizia președintelui Agenției Naționale pentru Mediu și Arii Protejate nr. 3012/04.11.2025 privind aprobarea Planului de management al ariei naturale protejate ROSCI0268 Valea Vâlsanului;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 </w:t>
      </w:r>
      <w:r w:rsidDel="00000000" w:rsidR="00000000" w:rsidRPr="00000000">
        <w:rPr>
          <w:color w:val="ee0000"/>
          <w:rtl w:val="0"/>
        </w:rPr>
        <w:t xml:space="preserve">                                                                                                                        </w:t>
      </w:r>
      <w:r w:rsidDel="00000000" w:rsidR="00000000" w:rsidRPr="00000000">
        <w:rPr>
          <w:rtl w:val="0"/>
        </w:rPr>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 w:type="dxa"/>
        <w:tblLayout w:type="fixed"/>
        <w:tblLook w:val="0400"/>
      </w:tblPr>
      <w:tblGrid>
        <w:gridCol w:w="4334"/>
        <w:gridCol w:w="4630"/>
        <w:tblGridChange w:id="0">
          <w:tblGrid>
            <w:gridCol w:w="4334"/>
            <w:gridCol w:w="46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503"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9110 Păduri de fag de tip Luzulo-Fagetum </w:t>
            </w: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B">
            <w:pPr>
              <w:spacing w:after="0" w:lineRule="auto"/>
              <w:rPr>
                <w:b w:val="1"/>
                <w:bCs w:val="1"/>
                <w:sz w:val="22"/>
                <w:szCs w:val="22"/>
              </w:rPr>
            </w:pPr>
            <w:r w:rsidDel="00000000" w:rsidR="00000000" w:rsidRPr="00000000">
              <w:rPr>
                <w:i w:val="1"/>
                <w:iCs w:val="1"/>
                <w:sz w:val="22"/>
                <w:szCs w:val="22"/>
                <w:rtl w:val="0"/>
              </w:rPr>
              <w:t xml:space="preserve">1193 Bombina variegata</w:t>
            </w:r>
            <w:r w:rsidDel="00000000" w:rsidR="00000000" w:rsidRPr="00000000">
              <w:rPr>
                <w:rtl w:val="0"/>
              </w:rPr>
            </w:r>
          </w:p>
          <w:p w:rsidR="00000000" w:rsidDel="00000000" w:rsidP="00000000" w:rsidRDefault="00000000" w:rsidRPr="00000000" w14:paraId="0000007C">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1084* Osmoderma eremita</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7F">
            <w:pPr>
              <w:spacing w:after="0" w:lineRule="auto"/>
              <w:rPr>
                <w:b w:val="1"/>
                <w:bCs w:val="1"/>
                <w:sz w:val="22"/>
                <w:szCs w:val="22"/>
              </w:rPr>
            </w:pPr>
            <w:r w:rsidDel="00000000" w:rsidR="00000000" w:rsidRPr="00000000">
              <w:rPr>
                <w:i w:val="1"/>
                <w:iCs w:val="1"/>
                <w:sz w:val="22"/>
                <w:szCs w:val="22"/>
                <w:rtl w:val="0"/>
              </w:rPr>
              <w:t xml:space="preserve">6908 Morimus asper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Zona include ecosisteme forestiere cu valoare conservativă ridicată, caracterizate prin continuitate ecologică, naturalitate și diversitate structurală. Habitatele forestiere prezente asigură condiții favorabile pentru menținerea proceselor ecologice specifice pădurilor mature și pentru conservarea biodiversității asociate acestora.</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Valoarea ecologică a zonei este susținută de existența arborilor maturi, a lemnului mort și a diversității de microhabitate forestiere, elemente esențiale pentru numeroase specii de interes conservativ. Totodată, zonele umede temporare și microhabitatele cu umiditate ridicată existente în cadrul ecosistemului forestier contribuie la menținerea unor condiții favorabile pentru speciile dependente de habitatul forestier și de regimul hidrologic natural.</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Pădurile incluse în zonă contribuie la menținerea conectivității ecologice, la conservarea biodiversității forestiere și la asigurarea funcțiilor ecosistemice specifice ecosistemelor forestiere bine conservate.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Desemnarea are la bază valoarea ecologică ridicată a habitatelor forestiere și importanța acestora pentru conservarea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tabs>
                <w:tab w:val="left" w:leader="none" w:pos="2052"/>
              </w:tabs>
              <w:spacing w:after="0"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9">
            <w:pPr>
              <w:tabs>
                <w:tab w:val="left" w:leader="none" w:pos="2052"/>
              </w:tabs>
              <w:spacing w:after="0" w:line="276"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8A">
            <w:pPr>
              <w:tabs>
                <w:tab w:val="left" w:leader="none" w:pos="2052"/>
              </w:tabs>
              <w:spacing w:after="0"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B">
            <w:pPr>
              <w:tabs>
                <w:tab w:val="left" w:leader="none" w:pos="2052"/>
              </w:tabs>
              <w:spacing w:after="0" w:line="276"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8C">
            <w:pPr>
              <w:tabs>
                <w:tab w:val="left" w:leader="none" w:pos="2052"/>
              </w:tabs>
              <w:spacing w:after="0"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D">
            <w:pPr>
              <w:tabs>
                <w:tab w:val="left" w:leader="none" w:pos="2052"/>
              </w:tabs>
              <w:spacing w:after="0"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E">
            <w:pPr>
              <w:tabs>
                <w:tab w:val="left" w:leader="none" w:pos="2052"/>
              </w:tabs>
              <w:spacing w:after="0"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F">
            <w:pPr>
              <w:tabs>
                <w:tab w:val="left" w:leader="none" w:pos="2052"/>
              </w:tabs>
              <w:spacing w:after="0"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0">
            <w:pPr>
              <w:tabs>
                <w:tab w:val="left" w:leader="none" w:pos="2052"/>
              </w:tabs>
              <w:spacing w:after="0"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1">
            <w:pPr>
              <w:tabs>
                <w:tab w:val="left" w:leader="none" w:pos="2052"/>
              </w:tabs>
              <w:spacing w:after="0"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2">
            <w:pPr>
              <w:tabs>
                <w:tab w:val="left" w:leader="none" w:pos="2052"/>
              </w:tabs>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3">
            <w:pPr>
              <w:tabs>
                <w:tab w:val="left" w:leader="none" w:pos="2052"/>
              </w:tabs>
              <w:spacing w:after="0"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4">
            <w:pPr>
              <w:tabs>
                <w:tab w:val="left" w:leader="none" w:pos="2052"/>
              </w:tabs>
              <w:spacing w:after="0"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5">
            <w:pPr>
              <w:tabs>
                <w:tab w:val="left" w:leader="none" w:pos="2052"/>
              </w:tabs>
              <w:spacing w:after="0"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6">
            <w:pPr>
              <w:tabs>
                <w:tab w:val="left" w:leader="none" w:pos="2052"/>
              </w:tabs>
              <w:spacing w:after="0"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7">
            <w:pPr>
              <w:tabs>
                <w:tab w:val="left" w:leader="none" w:pos="2052"/>
              </w:tabs>
              <w:spacing w:after="0"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8">
            <w:pPr>
              <w:tabs>
                <w:tab w:val="left" w:leader="none" w:pos="2052"/>
              </w:tabs>
              <w:spacing w:after="0"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9">
            <w:pPr>
              <w:tabs>
                <w:tab w:val="left" w:leader="none" w:pos="2052"/>
              </w:tabs>
              <w:spacing w:after="0"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A">
            <w:pPr>
              <w:tabs>
                <w:tab w:val="left" w:leader="none" w:pos="2052"/>
              </w:tabs>
              <w:spacing w:after="0"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B">
            <w:pPr>
              <w:tabs>
                <w:tab w:val="left" w:leader="none" w:pos="2052"/>
              </w:tabs>
              <w:spacing w:after="0"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C">
            <w:pPr>
              <w:tabs>
                <w:tab w:val="left" w:leader="none" w:pos="2052"/>
              </w:tabs>
              <w:spacing w:after="0"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D">
            <w:pPr>
              <w:tabs>
                <w:tab w:val="left" w:leader="none" w:pos="2052"/>
              </w:tabs>
              <w:spacing w:after="0"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E">
            <w:pPr>
              <w:tabs>
                <w:tab w:val="left" w:leader="none" w:pos="2052"/>
              </w:tabs>
              <w:spacing w:after="0"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F">
            <w:pPr>
              <w:tabs>
                <w:tab w:val="left" w:leader="none" w:pos="2052"/>
              </w:tabs>
              <w:spacing w:after="0"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0">
            <w:pPr>
              <w:tabs>
                <w:tab w:val="left" w:leader="none" w:pos="2052"/>
              </w:tabs>
              <w:spacing w:after="0"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1">
            <w:pPr>
              <w:tabs>
                <w:tab w:val="left" w:leader="none" w:pos="2052"/>
              </w:tabs>
              <w:spacing w:after="0"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2">
            <w:pPr>
              <w:tabs>
                <w:tab w:val="left" w:leader="none" w:pos="2052"/>
              </w:tabs>
              <w:spacing w:after="0"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3">
            <w:pPr>
              <w:tabs>
                <w:tab w:val="left" w:leader="none" w:pos="2052"/>
              </w:tabs>
              <w:spacing w:after="0"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3">
            <w:pPr>
              <w:tabs>
                <w:tab w:val="left" w:leader="none" w:pos="2052"/>
              </w:tabs>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sz w:val="22"/>
                <w:szCs w:val="22"/>
              </w:rPr>
            </w:pPr>
            <w:r w:rsidDel="00000000" w:rsidR="00000000" w:rsidRPr="00000000">
              <w:rPr>
                <w:sz w:val="22"/>
                <w:szCs w:val="22"/>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rPr>
                <w:sz w:val="22"/>
                <w:szCs w:val="22"/>
              </w:rPr>
            </w:pPr>
            <w:r w:rsidDel="00000000" w:rsidR="00000000" w:rsidRPr="00000000">
              <w:rPr>
                <w:sz w:val="22"/>
                <w:szCs w:val="22"/>
                <w:rtl w:val="0"/>
              </w:rPr>
              <w:t xml:space="preserve">Publică de stat și privat</w:t>
            </w:r>
          </w:p>
        </w:tc>
      </w:tr>
    </w:tbl>
    <w:p w:rsidR="00000000" w:rsidDel="00000000" w:rsidP="00000000" w:rsidRDefault="00000000" w:rsidRPr="00000000" w14:paraId="000000A6">
      <w:pPr>
        <w:rPr>
          <w:b w:val="1"/>
          <w:bCs w:val="1"/>
          <w:sz w:val="22"/>
          <w:szCs w:val="22"/>
        </w:rPr>
      </w:pPr>
      <w:r w:rsidDel="00000000" w:rsidR="00000000" w:rsidRPr="00000000">
        <w:rPr>
          <w:rtl w:val="0"/>
        </w:rPr>
      </w:r>
    </w:p>
    <w:p w:rsidR="00000000" w:rsidDel="00000000" w:rsidP="00000000" w:rsidRDefault="00000000" w:rsidRPr="00000000" w14:paraId="000000A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sz w:val="22"/>
          <w:szCs w:val="22"/>
          <w:rtl w:val="0"/>
        </w:rPr>
        <w:t xml:space="preserve">Covaciu-Marcov, S.-D., Cicort-Lucaciu, A.-Ș., Telcean, I., &amp; Pal, A. (2014). Some notes on the herpetofauna from Vâlsan River natural protected area, Romania. Carpathian Journal of Earth and Environmental Sciences, 9(3), 171-176.</w:t>
      </w: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Consultările publice  au fost realizate la: 4 noiembrie 2024 – Pitești, 14-15 noiembrie 2024 – DS Argeș, 24 iunie 2025 – DS Argeș, 28 și 29 ianuarie 2026 - consultare Prefectura Argeș.</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y5zgnre94dw7" w:id="0"/>
      <w:bookmarkEnd w:id="0"/>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w:t>
      </w:r>
      <w:r w:rsidDel="00000000" w:rsidR="00000000" w:rsidRPr="00000000">
        <w:rPr>
          <w:b w:val="1"/>
          <w:bCs w:val="1"/>
          <w:color w:val="000000"/>
          <w:sz w:val="22"/>
          <w:szCs w:val="22"/>
          <w:rtl w:val="0"/>
        </w:rPr>
        <w:t xml:space="preserve">16 decembrie 2025</w:t>
      </w:r>
      <w:r w:rsidDel="00000000" w:rsidR="00000000" w:rsidRPr="00000000">
        <w:rPr>
          <w:color w:val="000000"/>
          <w:sz w:val="22"/>
          <w:szCs w:val="22"/>
          <w:rtl w:val="0"/>
        </w:rPr>
        <w:t xml:space="preserve">, cu participarea reprezentanților unităților administrativ-teritoriale, ai prefecturilor și/sau ai altor instituții relevante, după caz. </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0">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1">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mc/E4l6dxVaP4egULrIWi4Iz9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eTV6Z25yZTk0ZHc3OAByITF2MzJkU1BzYzByc2U2ZjMwdEJ3c0hKQUs0Q0p4aURk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